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665C91" w:rsidRPr="00665C91" w:rsidTr="00665C91">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665C91" w:rsidRPr="00665C91">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65C91" w:rsidRPr="00665C91" w:rsidRDefault="00665C91" w:rsidP="00665C91">
                  <w:pPr>
                    <w:spacing w:after="0" w:line="240" w:lineRule="atLeast"/>
                    <w:rPr>
                      <w:rFonts w:ascii="Times New Roman" w:eastAsia="Times New Roman" w:hAnsi="Times New Roman" w:cs="Times New Roman"/>
                      <w:sz w:val="24"/>
                      <w:szCs w:val="24"/>
                      <w:lang w:eastAsia="tr-TR"/>
                    </w:rPr>
                  </w:pPr>
                  <w:bookmarkStart w:id="0" w:name="_GoBack"/>
                  <w:bookmarkEnd w:id="0"/>
                  <w:r w:rsidRPr="00665C91">
                    <w:rPr>
                      <w:rFonts w:ascii="Arial" w:eastAsia="Times New Roman" w:hAnsi="Arial" w:cs="Arial"/>
                      <w:sz w:val="16"/>
                      <w:szCs w:val="16"/>
                      <w:lang w:eastAsia="tr-TR"/>
                    </w:rPr>
                    <w:t>17 Haziran 2021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65C91" w:rsidRPr="00665C91" w:rsidRDefault="00665C91" w:rsidP="00665C91">
                  <w:pPr>
                    <w:spacing w:after="0" w:line="240" w:lineRule="atLeast"/>
                    <w:jc w:val="center"/>
                    <w:rPr>
                      <w:rFonts w:ascii="Times New Roman" w:eastAsia="Times New Roman" w:hAnsi="Times New Roman" w:cs="Times New Roman"/>
                      <w:sz w:val="24"/>
                      <w:szCs w:val="24"/>
                      <w:lang w:eastAsia="tr-TR"/>
                    </w:rPr>
                  </w:pPr>
                  <w:r w:rsidRPr="00665C91">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65C91" w:rsidRPr="00665C91" w:rsidRDefault="00665C91" w:rsidP="00665C91">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665C91">
                    <w:rPr>
                      <w:rFonts w:ascii="Arial" w:eastAsia="Times New Roman" w:hAnsi="Arial" w:cs="Arial"/>
                      <w:sz w:val="16"/>
                      <w:szCs w:val="16"/>
                      <w:lang w:eastAsia="tr-TR"/>
                    </w:rPr>
                    <w:t>Sayı : 31514</w:t>
                  </w:r>
                  <w:proofErr w:type="gramEnd"/>
                </w:p>
              </w:tc>
            </w:tr>
            <w:tr w:rsidR="00665C91" w:rsidRPr="00665C91">
              <w:trPr>
                <w:trHeight w:val="480"/>
                <w:jc w:val="center"/>
              </w:trPr>
              <w:tc>
                <w:tcPr>
                  <w:tcW w:w="8789" w:type="dxa"/>
                  <w:gridSpan w:val="3"/>
                  <w:tcMar>
                    <w:top w:w="0" w:type="dxa"/>
                    <w:left w:w="108" w:type="dxa"/>
                    <w:bottom w:w="0" w:type="dxa"/>
                    <w:right w:w="108" w:type="dxa"/>
                  </w:tcMar>
                  <w:vAlign w:val="center"/>
                  <w:hideMark/>
                </w:tcPr>
                <w:p w:rsidR="00665C91" w:rsidRPr="00665C91" w:rsidRDefault="00665C91" w:rsidP="00665C9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65C91">
                    <w:rPr>
                      <w:rFonts w:ascii="Arial" w:eastAsia="Times New Roman" w:hAnsi="Arial" w:cs="Arial"/>
                      <w:b/>
                      <w:bCs/>
                      <w:color w:val="000080"/>
                      <w:sz w:val="18"/>
                      <w:szCs w:val="18"/>
                      <w:lang w:eastAsia="tr-TR"/>
                    </w:rPr>
                    <w:t>YÖNETMELİK</w:t>
                  </w:r>
                </w:p>
              </w:tc>
            </w:tr>
            <w:tr w:rsidR="00665C91" w:rsidRPr="00665C91">
              <w:trPr>
                <w:trHeight w:val="480"/>
                <w:jc w:val="center"/>
              </w:trPr>
              <w:tc>
                <w:tcPr>
                  <w:tcW w:w="8789" w:type="dxa"/>
                  <w:gridSpan w:val="3"/>
                  <w:tcMar>
                    <w:top w:w="0" w:type="dxa"/>
                    <w:left w:w="108" w:type="dxa"/>
                    <w:bottom w:w="0" w:type="dxa"/>
                    <w:right w:w="108" w:type="dxa"/>
                  </w:tcMar>
                  <w:vAlign w:val="center"/>
                  <w:hideMark/>
                </w:tcPr>
                <w:p w:rsidR="00665C91" w:rsidRPr="00665C91" w:rsidRDefault="00665C91" w:rsidP="00665C91">
                  <w:pPr>
                    <w:spacing w:after="0" w:line="240" w:lineRule="atLeast"/>
                    <w:ind w:firstLine="566"/>
                    <w:jc w:val="both"/>
                    <w:rPr>
                      <w:rFonts w:ascii="Times New Roman" w:eastAsia="Times New Roman" w:hAnsi="Times New Roman" w:cs="Times New Roman"/>
                      <w:u w:val="single"/>
                      <w:lang w:eastAsia="tr-TR"/>
                    </w:rPr>
                  </w:pPr>
                  <w:r w:rsidRPr="00665C91">
                    <w:rPr>
                      <w:rFonts w:ascii="Times New Roman" w:eastAsia="Times New Roman" w:hAnsi="Times New Roman" w:cs="Times New Roman"/>
                      <w:sz w:val="18"/>
                      <w:szCs w:val="18"/>
                      <w:u w:val="single"/>
                      <w:lang w:eastAsia="tr-TR"/>
                    </w:rPr>
                    <w:t>Yükseköğretim Kurulu Başkanlığından:</w:t>
                  </w:r>
                </w:p>
                <w:p w:rsidR="00665C91" w:rsidRPr="00665C91" w:rsidRDefault="00665C91" w:rsidP="00665C91">
                  <w:pPr>
                    <w:spacing w:after="0" w:line="240" w:lineRule="atLeast"/>
                    <w:jc w:val="center"/>
                    <w:rPr>
                      <w:rFonts w:ascii="Times New Roman" w:eastAsia="Times New Roman" w:hAnsi="Times New Roman" w:cs="Times New Roman"/>
                      <w:b/>
                      <w:bCs/>
                      <w:sz w:val="19"/>
                      <w:szCs w:val="19"/>
                      <w:lang w:eastAsia="tr-TR"/>
                    </w:rPr>
                  </w:pPr>
                  <w:r w:rsidRPr="00665C91">
                    <w:rPr>
                      <w:rFonts w:ascii="Times New Roman" w:eastAsia="Times New Roman" w:hAnsi="Times New Roman" w:cs="Times New Roman"/>
                      <w:b/>
                      <w:bCs/>
                      <w:sz w:val="18"/>
                      <w:szCs w:val="18"/>
                      <w:lang w:eastAsia="tr-TR"/>
                    </w:rPr>
                    <w:t>YÜKSEKÖĞRETİMDE UYGULAMALI EĞİTİMLER</w:t>
                  </w:r>
                </w:p>
                <w:p w:rsidR="00665C91" w:rsidRPr="00665C91" w:rsidRDefault="00665C91" w:rsidP="00665C91">
                  <w:pPr>
                    <w:spacing w:after="0" w:line="240" w:lineRule="atLeast"/>
                    <w:jc w:val="center"/>
                    <w:rPr>
                      <w:rFonts w:ascii="Times New Roman" w:eastAsia="Times New Roman" w:hAnsi="Times New Roman" w:cs="Times New Roman"/>
                      <w:b/>
                      <w:bCs/>
                      <w:sz w:val="19"/>
                      <w:szCs w:val="19"/>
                      <w:lang w:eastAsia="tr-TR"/>
                    </w:rPr>
                  </w:pPr>
                  <w:r w:rsidRPr="00665C91">
                    <w:rPr>
                      <w:rFonts w:ascii="Times New Roman" w:eastAsia="Times New Roman" w:hAnsi="Times New Roman" w:cs="Times New Roman"/>
                      <w:b/>
                      <w:bCs/>
                      <w:sz w:val="18"/>
                      <w:szCs w:val="18"/>
                      <w:lang w:eastAsia="tr-TR"/>
                    </w:rPr>
                    <w:t>ÇERÇEVE YÖNETMELİĞİ</w:t>
                  </w:r>
                </w:p>
                <w:p w:rsidR="00665C91" w:rsidRPr="00665C91" w:rsidRDefault="00665C91" w:rsidP="00665C91">
                  <w:pPr>
                    <w:spacing w:after="0" w:line="240" w:lineRule="atLeast"/>
                    <w:jc w:val="center"/>
                    <w:rPr>
                      <w:rFonts w:ascii="Times New Roman" w:eastAsia="Times New Roman" w:hAnsi="Times New Roman" w:cs="Times New Roman"/>
                      <w:b/>
                      <w:bCs/>
                      <w:sz w:val="19"/>
                      <w:szCs w:val="19"/>
                      <w:lang w:eastAsia="tr-TR"/>
                    </w:rPr>
                  </w:pPr>
                  <w:r w:rsidRPr="00665C91">
                    <w:rPr>
                      <w:rFonts w:ascii="Times New Roman" w:eastAsia="Times New Roman" w:hAnsi="Times New Roman" w:cs="Times New Roman"/>
                      <w:b/>
                      <w:bCs/>
                      <w:sz w:val="18"/>
                      <w:szCs w:val="18"/>
                      <w:lang w:eastAsia="tr-TR"/>
                    </w:rPr>
                    <w:t> </w:t>
                  </w:r>
                </w:p>
                <w:p w:rsidR="00665C91" w:rsidRPr="00665C91" w:rsidRDefault="00665C91" w:rsidP="00665C91">
                  <w:pPr>
                    <w:spacing w:after="0" w:line="240" w:lineRule="atLeast"/>
                    <w:jc w:val="center"/>
                    <w:rPr>
                      <w:rFonts w:ascii="Times New Roman" w:eastAsia="Times New Roman" w:hAnsi="Times New Roman" w:cs="Times New Roman"/>
                      <w:b/>
                      <w:bCs/>
                      <w:sz w:val="19"/>
                      <w:szCs w:val="19"/>
                      <w:lang w:eastAsia="tr-TR"/>
                    </w:rPr>
                  </w:pPr>
                  <w:r w:rsidRPr="00665C91">
                    <w:rPr>
                      <w:rFonts w:ascii="Times New Roman" w:eastAsia="Times New Roman" w:hAnsi="Times New Roman" w:cs="Times New Roman"/>
                      <w:b/>
                      <w:bCs/>
                      <w:sz w:val="18"/>
                      <w:szCs w:val="18"/>
                      <w:lang w:eastAsia="tr-TR"/>
                    </w:rPr>
                    <w:t>BİRİNCİ BÖLÜM</w:t>
                  </w:r>
                </w:p>
                <w:p w:rsidR="00665C91" w:rsidRPr="00665C91" w:rsidRDefault="00665C91" w:rsidP="00665C91">
                  <w:pPr>
                    <w:spacing w:after="0" w:line="240" w:lineRule="atLeast"/>
                    <w:jc w:val="center"/>
                    <w:rPr>
                      <w:rFonts w:ascii="Times New Roman" w:eastAsia="Times New Roman" w:hAnsi="Times New Roman" w:cs="Times New Roman"/>
                      <w:b/>
                      <w:bCs/>
                      <w:sz w:val="19"/>
                      <w:szCs w:val="19"/>
                      <w:lang w:eastAsia="tr-TR"/>
                    </w:rPr>
                  </w:pPr>
                  <w:r w:rsidRPr="00665C91">
                    <w:rPr>
                      <w:rFonts w:ascii="Times New Roman" w:eastAsia="Times New Roman" w:hAnsi="Times New Roman" w:cs="Times New Roman"/>
                      <w:b/>
                      <w:bCs/>
                      <w:sz w:val="18"/>
                      <w:szCs w:val="18"/>
                      <w:lang w:eastAsia="tr-TR"/>
                    </w:rPr>
                    <w:t>Amaç, Kapsam, Dayanak ve Tanımlar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Amaç ve kapsam</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1 – </w:t>
                  </w:r>
                  <w:r w:rsidRPr="00665C91">
                    <w:rPr>
                      <w:rFonts w:ascii="Times New Roman" w:eastAsia="Times New Roman" w:hAnsi="Times New Roman" w:cs="Times New Roman"/>
                      <w:sz w:val="18"/>
                      <w:szCs w:val="18"/>
                      <w:lang w:eastAsia="tr-TR"/>
                    </w:rPr>
                    <w:t>(1) Bu Yönetmeliğin amacı, yükseköğretim kurumlarındaki eğitim, fen, mühendislik, sağlık, sanat, spor ve sosyal bilimler alanı öğrencilerinin mesleki beceri ve tecrübelerini geliştirmek üzere ilgili programlarda yaptırılan uygulamalı eğitimlere ilişkin usul ve esasları düzenlemektir.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Dayanak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2 –</w:t>
                  </w:r>
                  <w:r w:rsidRPr="00665C91">
                    <w:rPr>
                      <w:rFonts w:ascii="Times New Roman" w:eastAsia="Times New Roman" w:hAnsi="Times New Roman" w:cs="Times New Roman"/>
                      <w:sz w:val="18"/>
                      <w:szCs w:val="18"/>
                      <w:lang w:eastAsia="tr-TR"/>
                    </w:rPr>
                    <w:t> (1) Bu Yönetmelik, 5/6/1986 tarihli ve 3308 sayılı Mesleki Eğitim Kanununun 20 </w:t>
                  </w:r>
                  <w:proofErr w:type="spellStart"/>
                  <w:r w:rsidRPr="00665C91">
                    <w:rPr>
                      <w:rFonts w:ascii="Times New Roman" w:eastAsia="Times New Roman" w:hAnsi="Times New Roman" w:cs="Times New Roman"/>
                      <w:sz w:val="18"/>
                      <w:szCs w:val="18"/>
                      <w:lang w:eastAsia="tr-TR"/>
                    </w:rPr>
                    <w:t>nci</w:t>
                  </w:r>
                  <w:proofErr w:type="spellEnd"/>
                  <w:r w:rsidRPr="00665C91">
                    <w:rPr>
                      <w:rFonts w:ascii="Times New Roman" w:eastAsia="Times New Roman" w:hAnsi="Times New Roman" w:cs="Times New Roman"/>
                      <w:sz w:val="18"/>
                      <w:szCs w:val="18"/>
                      <w:lang w:eastAsia="tr-TR"/>
                    </w:rPr>
                    <w:t> maddesine dayanılarak hazırlanmıştır.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Tanımlar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3 –</w:t>
                  </w:r>
                  <w:r w:rsidRPr="00665C91">
                    <w:rPr>
                      <w:rFonts w:ascii="Times New Roman" w:eastAsia="Times New Roman" w:hAnsi="Times New Roman" w:cs="Times New Roman"/>
                      <w:sz w:val="18"/>
                      <w:szCs w:val="18"/>
                      <w:lang w:eastAsia="tr-TR"/>
                    </w:rPr>
                    <w:t> (1) Bu Yönetmelikte geçen;</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a) Avrupa Kredi Transfer Sistemi (AKTS) kredisi: Öğrencinin bir dersi başarıyla tamamlayabilmesi için yapması gereken çalışmaların tamamını kapsayan ve öğrencilere kazandırılacak bilgi, beceri ve yetkinlikleri elde etmek için gerekli olan toplam iş yükünü temel alan sayısal değeri,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b) Bölüm: Amaç, kapsam ve nitelik yönünden bir bütün teşkil eden, birbirini tamamlayan veya birbirine yakın anabilim ve </w:t>
                  </w:r>
                  <w:proofErr w:type="spellStart"/>
                  <w:r w:rsidRPr="00665C91">
                    <w:rPr>
                      <w:rFonts w:ascii="Times New Roman" w:eastAsia="Times New Roman" w:hAnsi="Times New Roman" w:cs="Times New Roman"/>
                      <w:sz w:val="18"/>
                      <w:szCs w:val="18"/>
                      <w:lang w:eastAsia="tr-TR"/>
                    </w:rPr>
                    <w:t>anasanat</w:t>
                  </w:r>
                  <w:proofErr w:type="spellEnd"/>
                  <w:r w:rsidRPr="00665C91">
                    <w:rPr>
                      <w:rFonts w:ascii="Times New Roman" w:eastAsia="Times New Roman" w:hAnsi="Times New Roman" w:cs="Times New Roman"/>
                      <w:sz w:val="18"/>
                      <w:szCs w:val="18"/>
                      <w:lang w:eastAsia="tr-TR"/>
                    </w:rPr>
                    <w:t> dallarından oluşan; fakültelerin ve yüksekokulların eğitim ve öğretim, bilimsel araştırma ve uygulama birimini,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c) Eğitici personel: Mesleki yetkinliğe sahip, öğrencilerin işletmedeki eğitimlerinden sorumlu, iş pedagojisi eğitimi almış, mesleki eğitim yöntem ve tekniklerini bilen ve uygulayan veya mesleki ve teknik eğitim okul ve kurumlarında atölye, laboratuvar, meslek dersleri öğretmenliği yapabilme yetkisine sahip işletme personelini,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ç) İntibak komisyonu: Öğrencilerin yatay ve dikey geçişleri veya önceki öğrenmeleri kapsamında almış oldukları derslerin veya eğitim ve öğretim kazanımlarının kayıtlı oldukları yeni programlarındaki hangi ders veya kazanıma tekabül ettiğini değerlendirmek üzere oluşturulan komisyonu,</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proofErr w:type="gramStart"/>
                  <w:r w:rsidRPr="00665C91">
                    <w:rPr>
                      <w:rFonts w:ascii="Times New Roman" w:eastAsia="Times New Roman" w:hAnsi="Times New Roman" w:cs="Times New Roman"/>
                      <w:sz w:val="18"/>
                      <w:szCs w:val="18"/>
                      <w:lang w:eastAsia="tr-TR"/>
                    </w:rPr>
                    <w:t>d) </w:t>
                  </w:r>
                  <w:proofErr w:type="spellStart"/>
                  <w:r w:rsidRPr="00665C91">
                    <w:rPr>
                      <w:rFonts w:ascii="Times New Roman" w:eastAsia="Times New Roman" w:hAnsi="Times New Roman" w:cs="Times New Roman"/>
                      <w:sz w:val="18"/>
                      <w:szCs w:val="18"/>
                      <w:lang w:eastAsia="tr-TR"/>
                    </w:rPr>
                    <w:t>İntörnlük</w:t>
                  </w:r>
                  <w:proofErr w:type="spellEnd"/>
                  <w:r w:rsidRPr="00665C91">
                    <w:rPr>
                      <w:rFonts w:ascii="Times New Roman" w:eastAsia="Times New Roman" w:hAnsi="Times New Roman" w:cs="Times New Roman"/>
                      <w:sz w:val="18"/>
                      <w:szCs w:val="18"/>
                      <w:lang w:eastAsia="tr-TR"/>
                    </w:rPr>
                    <w:t> uygulaması: Tıp fakültesi altıncı sınıf öğrencilerinin, hekimlik uygulamalarına yönelik bilgi, beceri ve tutumlarını geliştirmek üzere öğretim üyeleri, tıp hekimleri ve diğer sağlık meslek mensupları ile birlikte klinik karar verme süreçlerine ve uygulamalarına, nöbet tutma dâhil sağlık hizmet sunumuna aktif katılımının sağlandığı ve süresi Yükseköğretim Kurulunca belirlenen uygulamalı eğitimi,</w:t>
                  </w:r>
                  <w:proofErr w:type="gramEnd"/>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e) İsteğe bağlı staj: Öğrencinin, kayıtlı olduğu programın öğretim planında yer almamasına rağmen kendi ihtiyaçları ve isteği doğrultusunda yaptığı stajı,</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f) İşletme: Mal ve hizmet üreten kamu ve özel kurum, kuruluş ve iş yerlerini,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g) İşletme değerlendirme formu: İşletme tarafından her bir öğrenci için doldurulan, uygulamalı eğitim süreçleri ile ilgili bilgileri, gözlemleri ve işletmenin öğrencilerin uygulamalı eğitim faaliyetlerine ilişkin değerlendirmelerini içeren formu,</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ğ) İşletmede mesleki eğitim: Mesleki eğitim programı öğrencilerinin teorik eğitimlerini yükseköğretim kurumlarında, işletmede veya işletmelerce tesis edilen eğitim birimlerinde, beceri eğitimlerini ise işletmelerde yaptıkları eğitim uygulamalarını,</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h) Komisyon: Uygulamalı eğitimler komisyonunu,</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ı) Mesleki eğitim programı: Yükseköğretim Kurulu tarafından Ülkenin kalkınmaya dair üst politika belgeleri ve ihtiyaçları dikkate alınarak belirli zaman aralıkları ile belirlenen ve bir mesleğe ilişkin </w:t>
                  </w:r>
                  <w:proofErr w:type="spellStart"/>
                  <w:r w:rsidRPr="00665C91">
                    <w:rPr>
                      <w:rFonts w:ascii="Times New Roman" w:eastAsia="Times New Roman" w:hAnsi="Times New Roman" w:cs="Times New Roman"/>
                      <w:sz w:val="18"/>
                      <w:szCs w:val="18"/>
                      <w:lang w:eastAsia="tr-TR"/>
                    </w:rPr>
                    <w:t>önlisans</w:t>
                  </w:r>
                  <w:proofErr w:type="spellEnd"/>
                  <w:r w:rsidRPr="00665C91">
                    <w:rPr>
                      <w:rFonts w:ascii="Times New Roman" w:eastAsia="Times New Roman" w:hAnsi="Times New Roman" w:cs="Times New Roman"/>
                      <w:sz w:val="18"/>
                      <w:szCs w:val="18"/>
                      <w:lang w:eastAsia="tr-TR"/>
                    </w:rPr>
                    <w:t> veya lisans düzeyinde eğitim ve öğretim faaliyeti yürütülen yükseköğretim diploma programlarını,</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i) Program: Yükseköğretim kurumlarının akademik birimleri bünyesinde bilim ve sanat ile ilişkili öğrenme ve meslek alanına ilişkin kazanım odaklı bir eğitim ve öğretim planı doğrultusunda faaliyetlerini sürdüren, kayıt olma koşulları ve süresi belirli olan, mezunlarına bir unvan ve yükseköğretim derecesi kazandıran diploma programını,</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j) Staj: Yükseköğretim kurumlarında verilen ve programa özgü olarak belirlenmiş teorik ve uygulamalı dersler dışında, öğrencilerin öğretim programlarıyla kazandırılması öngörülen mesleki bilgi, beceri, tutum ve davranışlarını geliştirmeleri, sektörü tanımaları, iş hayatına uyum sağlamaları, tecrübe edinmeleri ve gerçek üretim ve hizmet ortamında yetişmeleri amacıyla işletmelerde yaptıkları mesleki çalışmayı,</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 xml:space="preserve">k) Uygulamalı ders: Bir eğitim ve öğretim döneminde diploma programına ait dersler kapsamında öğrencilerin yükseköğretim kurumunun uygulama alanlarında, işletmelerde veya hizmet alanlarında uygulamaların içinde yer alarak </w:t>
                  </w:r>
                  <w:r w:rsidRPr="00665C91">
                    <w:rPr>
                      <w:rFonts w:ascii="Times New Roman" w:eastAsia="Times New Roman" w:hAnsi="Times New Roman" w:cs="Times New Roman"/>
                      <w:sz w:val="18"/>
                      <w:szCs w:val="18"/>
                      <w:lang w:eastAsia="tr-TR"/>
                    </w:rPr>
                    <w:lastRenderedPageBreak/>
                    <w:t>bilgi, beceri ve yetkinliklerinin gelişimini sağlayan, ilgili dersin öğretim elemanının veya elemanlarının sorumluluğunda yapılan, işletmede mesleki eğitim veya staj kapsamında olmayan dersi,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l) Uygulamalı eğitim dosyası: Öğrencilerin uygulamalı eğitimler kapsamında hazırlamaları gereken defter, gelişim dosyası, form, rapor ve benzeri dokümanı,</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m) </w:t>
                  </w:r>
                  <w:proofErr w:type="gramStart"/>
                  <w:r w:rsidRPr="00665C91">
                    <w:rPr>
                      <w:rFonts w:ascii="Times New Roman" w:eastAsia="Times New Roman" w:hAnsi="Times New Roman" w:cs="Times New Roman"/>
                      <w:sz w:val="18"/>
                      <w:szCs w:val="18"/>
                      <w:lang w:eastAsia="tr-TR"/>
                    </w:rPr>
                    <w:t>Yükseköğretim kurumu</w:t>
                  </w:r>
                  <w:proofErr w:type="gramEnd"/>
                  <w:r w:rsidRPr="00665C91">
                    <w:rPr>
                      <w:rFonts w:ascii="Times New Roman" w:eastAsia="Times New Roman" w:hAnsi="Times New Roman" w:cs="Times New Roman"/>
                      <w:sz w:val="18"/>
                      <w:szCs w:val="18"/>
                      <w:lang w:eastAsia="tr-TR"/>
                    </w:rPr>
                    <w:t>: Yükseköğretim kademesinde eğitim, öğretim ve araştırma faaliyetleri yürüten üniversiteler, yüksek teknoloji enstitüleri ile bağımsız vakıf meslek yüksekokullarını,</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proofErr w:type="gramStart"/>
                  <w:r w:rsidRPr="00665C91">
                    <w:rPr>
                      <w:rFonts w:ascii="Times New Roman" w:eastAsia="Times New Roman" w:hAnsi="Times New Roman" w:cs="Times New Roman"/>
                      <w:sz w:val="18"/>
                      <w:szCs w:val="18"/>
                      <w:lang w:eastAsia="tr-TR"/>
                    </w:rPr>
                    <w:t>ifade</w:t>
                  </w:r>
                  <w:proofErr w:type="gramEnd"/>
                  <w:r w:rsidRPr="00665C91">
                    <w:rPr>
                      <w:rFonts w:ascii="Times New Roman" w:eastAsia="Times New Roman" w:hAnsi="Times New Roman" w:cs="Times New Roman"/>
                      <w:sz w:val="18"/>
                      <w:szCs w:val="18"/>
                      <w:lang w:eastAsia="tr-TR"/>
                    </w:rPr>
                    <w:t> eder.</w:t>
                  </w:r>
                </w:p>
                <w:p w:rsidR="00665C91" w:rsidRPr="00665C91" w:rsidRDefault="00665C91" w:rsidP="00665C91">
                  <w:pPr>
                    <w:spacing w:after="0" w:line="240" w:lineRule="atLeast"/>
                    <w:jc w:val="center"/>
                    <w:rPr>
                      <w:rFonts w:ascii="Times New Roman" w:eastAsia="Times New Roman" w:hAnsi="Times New Roman" w:cs="Times New Roman"/>
                      <w:b/>
                      <w:bCs/>
                      <w:sz w:val="19"/>
                      <w:szCs w:val="19"/>
                      <w:lang w:eastAsia="tr-TR"/>
                    </w:rPr>
                  </w:pPr>
                  <w:r w:rsidRPr="00665C91">
                    <w:rPr>
                      <w:rFonts w:ascii="Times New Roman" w:eastAsia="Times New Roman" w:hAnsi="Times New Roman" w:cs="Times New Roman"/>
                      <w:b/>
                      <w:bCs/>
                      <w:sz w:val="18"/>
                      <w:szCs w:val="18"/>
                      <w:lang w:eastAsia="tr-TR"/>
                    </w:rPr>
                    <w:t>İKİNCİ BÖLÜM</w:t>
                  </w:r>
                </w:p>
                <w:p w:rsidR="00665C91" w:rsidRPr="00665C91" w:rsidRDefault="00665C91" w:rsidP="00665C91">
                  <w:pPr>
                    <w:spacing w:after="0" w:line="240" w:lineRule="atLeast"/>
                    <w:jc w:val="center"/>
                    <w:rPr>
                      <w:rFonts w:ascii="Times New Roman" w:eastAsia="Times New Roman" w:hAnsi="Times New Roman" w:cs="Times New Roman"/>
                      <w:b/>
                      <w:bCs/>
                      <w:sz w:val="19"/>
                      <w:szCs w:val="19"/>
                      <w:lang w:eastAsia="tr-TR"/>
                    </w:rPr>
                  </w:pPr>
                  <w:r w:rsidRPr="00665C91">
                    <w:rPr>
                      <w:rFonts w:ascii="Times New Roman" w:eastAsia="Times New Roman" w:hAnsi="Times New Roman" w:cs="Times New Roman"/>
                      <w:b/>
                      <w:bCs/>
                      <w:sz w:val="18"/>
                      <w:szCs w:val="18"/>
                      <w:lang w:eastAsia="tr-TR"/>
                    </w:rPr>
                    <w:t>Görev ve Yetkiler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Yükseköğretim Kurulunun görev ve yetkisi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4 –</w:t>
                  </w:r>
                  <w:r w:rsidRPr="00665C91">
                    <w:rPr>
                      <w:rFonts w:ascii="Times New Roman" w:eastAsia="Times New Roman" w:hAnsi="Times New Roman" w:cs="Times New Roman"/>
                      <w:sz w:val="18"/>
                      <w:szCs w:val="18"/>
                      <w:lang w:eastAsia="tr-TR"/>
                    </w:rPr>
                    <w:t> (1) Yükseköğretim Kurulu yükseköğretim kademesindeki mesleki eğitim programlarını belirler.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Rektörün görev ve yetkisi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5 –</w:t>
                  </w:r>
                  <w:r w:rsidRPr="00665C91">
                    <w:rPr>
                      <w:rFonts w:ascii="Times New Roman" w:eastAsia="Times New Roman" w:hAnsi="Times New Roman" w:cs="Times New Roman"/>
                      <w:sz w:val="18"/>
                      <w:szCs w:val="18"/>
                      <w:lang w:eastAsia="tr-TR"/>
                    </w:rPr>
                    <w:t> (1) Rektör, uygulamalı eğitim faaliyetlerinin planlanması, bütçelenmesi, uygulanması, koordinasyonu ve denetiminden sorumludur.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Dekan ve müdürün görev ve yetkisi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6 –</w:t>
                  </w:r>
                  <w:r w:rsidRPr="00665C91">
                    <w:rPr>
                      <w:rFonts w:ascii="Times New Roman" w:eastAsia="Times New Roman" w:hAnsi="Times New Roman" w:cs="Times New Roman"/>
                      <w:sz w:val="18"/>
                      <w:szCs w:val="18"/>
                      <w:lang w:eastAsia="tr-TR"/>
                    </w:rPr>
                    <w:t> (1) Dekan ve müdürün görev ve yetkileri şunlardır: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a) Birimlerindeki uygulamalı eğitim faaliyetlerinin planlanması ve uygulanmasını koordine etmek.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b) Mesleki eğitim ve staj kapsamında 31/5/2006 tarihli ve 5510 sayılı Sosyal Sigortalar ve Genel Sağlık Sigortası Kanununun 5 inci maddesi gereğince sigortalanacak öğrencilerin sigortalanmalarına ilişkin iş ve işlemleri yürütmek.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c) Rektörün yetkilendirmesi halinde uygulamalı eğitimler kapsamında yükseköğretim birimi ile ilgili işletme arasında kurulan sözleşmeleri imzalamak ya da imzalanması için bu sözleşmeleri rektöre sunmak.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(2) Rektörün görevlendirmesi ile fakülte, yüksekokul ve meslek yüksekokulu dışında, amaca yönelik, koordinasyondan sorumlu idari bir birim bu maddede belirtilen görev ve sorumlulukları yerine getirebilir.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Uygulamalı eğitimler komisyonunun görev ve yetkisi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7 –</w:t>
                  </w:r>
                  <w:r w:rsidRPr="00665C91">
                    <w:rPr>
                      <w:rFonts w:ascii="Times New Roman" w:eastAsia="Times New Roman" w:hAnsi="Times New Roman" w:cs="Times New Roman"/>
                      <w:sz w:val="18"/>
                      <w:szCs w:val="18"/>
                      <w:lang w:eastAsia="tr-TR"/>
                    </w:rPr>
                    <w:t> (1) Fakülte, yüksekokul veya meslek yüksekokulunun uygulamalı eğitim yapılan program veya bölümlerinde; uygulamalı eğitim faaliyetlerinin planlanması, uygulanması ve koordinasyonundan sorumlu Komisyon oluşturulur.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(2) Komisyon, işletmede mesleki eğitim veya staj sonunda elde edilen kazanımların ölçme ve değerlendirme işlemlerini yapar veya bu işlemi yaptırmak üzere sorumlu öğretim elemanının da yer aldığı alt komisyonlar oluşturabilir.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(3) Vakıf yükseköğretim kurumlarında rektörün görevlendirmesi ile uygulamalı eğitimlerden sorumlu idari bir birim, bu maddede belirtilen görev ve sorumlulukları yerine getirebilir. Ancak uygulamalı eğitimlere ilişkin ölçme ve değerlendirme işlemleri, dekan veya müdürün görevlendireceği program veya bölümlerdeki ilgili öğretim elemanlarından oluşturulan bir akademik komisyon marifetiyle yapılır.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Sorumlu öğretim elemanının görev ve yetkisi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8 –</w:t>
                  </w:r>
                  <w:r w:rsidRPr="00665C91">
                    <w:rPr>
                      <w:rFonts w:ascii="Times New Roman" w:eastAsia="Times New Roman" w:hAnsi="Times New Roman" w:cs="Times New Roman"/>
                      <w:sz w:val="18"/>
                      <w:szCs w:val="18"/>
                      <w:lang w:eastAsia="tr-TR"/>
                    </w:rPr>
                    <w:t> (1) Program veya bölümlerde uygulamalı eğitim faaliyetlerini izlemesi, işletme ile kurum arasında koordinasyonu sağlaması, öğrencilere uygulamalı eğitim süreçlerinde rehber olması ve ölçme ve değerlendirme işlemlerinde yer alması amacıyla işletmede mesleki eğitim veya staj yapacak her bir uygulamalı eğitim grubu için eğitimler süresince bir sorumlu öğretim elemanı görevlendirilir.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Eğitici personelin görev ve yetkisi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9 –</w:t>
                  </w:r>
                  <w:r w:rsidRPr="00665C91">
                    <w:rPr>
                      <w:rFonts w:ascii="Times New Roman" w:eastAsia="Times New Roman" w:hAnsi="Times New Roman" w:cs="Times New Roman"/>
                      <w:sz w:val="18"/>
                      <w:szCs w:val="18"/>
                      <w:lang w:eastAsia="tr-TR"/>
                    </w:rPr>
                    <w:t> (1) İşletmede mesleki eğitim veya staj yapacak öğrenciler, uygulamalı eğitimler esnasında işletme tarafından Komisyonun görüşü alınarak görevlendirilen ve alanında mesleki yetkinliği haiz bir eğitici personelin gözetiminde bulunurlar.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(2) </w:t>
                  </w:r>
                  <w:proofErr w:type="spellStart"/>
                  <w:r w:rsidRPr="00665C91">
                    <w:rPr>
                      <w:rFonts w:ascii="Times New Roman" w:eastAsia="Times New Roman" w:hAnsi="Times New Roman" w:cs="Times New Roman"/>
                      <w:sz w:val="18"/>
                      <w:szCs w:val="18"/>
                      <w:lang w:eastAsia="tr-TR"/>
                    </w:rPr>
                    <w:t>İntörnlük</w:t>
                  </w:r>
                  <w:proofErr w:type="spellEnd"/>
                  <w:r w:rsidRPr="00665C91">
                    <w:rPr>
                      <w:rFonts w:ascii="Times New Roman" w:eastAsia="Times New Roman" w:hAnsi="Times New Roman" w:cs="Times New Roman"/>
                      <w:sz w:val="18"/>
                      <w:szCs w:val="18"/>
                      <w:lang w:eastAsia="tr-TR"/>
                    </w:rPr>
                    <w:t> uygulaması yapan öğrenciler yükseköğretim kurumu bünyesindeki sağlık uygulama ve araştırma merkezlerinde öğretim elemanları ile tıpta uzmanlık eğitimi yapan hekimlerin gözetiminde bulunurlar.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(3) Eğitici personelin görev ve yetkileri şunlardır: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a) Hazırlanan eğitim planı dâhilinde öğrencilerin uygulamalı eğitimlerini yapmalarını ve sürdürmelerini sağlamak.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b) Uygulamalı eğitim yapan her bir öğrenci için işletme değerlendirme formunun doldurulmasını sağlamak.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c) Öğrenciler tarafından hazırlanan uygulamalı eğitim dosyalarını inceleyerek görüş vermek ve onaylamak.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ç) Devamsızlık, disiplin ve uygulamalı eğitimlerle ilgili diğer hususlarda sorumlu öğretim elemanı ile iş birliği yapmak.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İşletmenin görev ve yetkisi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10 –</w:t>
                  </w:r>
                  <w:r w:rsidRPr="00665C91">
                    <w:rPr>
                      <w:rFonts w:ascii="Times New Roman" w:eastAsia="Times New Roman" w:hAnsi="Times New Roman" w:cs="Times New Roman"/>
                      <w:sz w:val="18"/>
                      <w:szCs w:val="18"/>
                      <w:lang w:eastAsia="tr-TR"/>
                    </w:rPr>
                    <w:t> (1) Bünyesinde, işletmede mesleki eğitim veya staj yaptırılan işletmenin görev ve yetkileri şunlardır: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a) Bünyesinde uygulamalı eğitim yapacak öğrenci sayısını dikkate alarak alanında mesleki yetkinliğe sahip yeterli sayıda eğitici personeli görevlendirmek.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b) Uygulamalı eğitim yapacak öğrencinin uygulamalı eğitim kabul formunu onaylamak.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c) Bünyesinde uygulamalı eğitim yapan her bir öğrenci için işletme değerlendirme formunu doldurmak.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lastRenderedPageBreak/>
                    <w:t>ç) Uygulamalı eğitim faaliyetlerinin 20/6/2012 tarihli ve 6331 sayılı İş Sağlığı ve Güvenliği Kanunu hükümlerine uygun ortamlarda yapılmasını sağlamak.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d) İşletmedeki çalışma ortamı ve uygulamaların mahiyeti dikkate alınarak öğrencilere iş sağlığı ve güvenliği eğitimleri vermek.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e) İşletmede mesleki eğitim ve kayıtlı olduğu programın ders planında yer aldığı için staj yapan öğrencilere 3308 sayılı Kanunun ilgili hükümlerine uygun olarak ücret ödemek.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f) İşletmede mesleki eğitim ve staj yapan öğrencilerin geçirdikleri iş kazalarını ilgili mevzuata uygun olarak ilgililere ve aynı gün içinde öğrencinin kayıtlı olduğu yükseköğretim kurumuna bildirmek.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Öğrencinin sorumlulukları</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11 –</w:t>
                  </w:r>
                  <w:r w:rsidRPr="00665C91">
                    <w:rPr>
                      <w:rFonts w:ascii="Times New Roman" w:eastAsia="Times New Roman" w:hAnsi="Times New Roman" w:cs="Times New Roman"/>
                      <w:sz w:val="18"/>
                      <w:szCs w:val="18"/>
                      <w:lang w:eastAsia="tr-TR"/>
                    </w:rPr>
                    <w:t> (1) Uygulamalı eğitim yapan öğrenciler, uygulamalı eğitimler esnasındaki izin veya devamsızlık sürelerine ilişkin işlemlerde öğrencisi oldukları yükseköğretim kurumunun ilgili mevzuatı ile işletmenin resmî çalışma kurallarına tabidir. Bu Yönetmelik hükümlerine veya işletmenin resmî çalışma kurallarına aykırı davranan öğrencilerin uygulamalı eğitimleri başarısız olarak değerlendirilir.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 xml:space="preserve">(2) Uygulamalı eğitim yapan öğrenciler işletmede bulunduğu sürelerde de 18/8/2012 tarihli ve 28388 sayılı Resmî </w:t>
                  </w:r>
                  <w:proofErr w:type="spellStart"/>
                  <w:r w:rsidRPr="00665C91">
                    <w:rPr>
                      <w:rFonts w:ascii="Times New Roman" w:eastAsia="Times New Roman" w:hAnsi="Times New Roman" w:cs="Times New Roman"/>
                      <w:sz w:val="18"/>
                      <w:szCs w:val="18"/>
                      <w:lang w:eastAsia="tr-TR"/>
                    </w:rPr>
                    <w:t>Gazete’de</w:t>
                  </w:r>
                  <w:proofErr w:type="spellEnd"/>
                  <w:r w:rsidRPr="00665C91">
                    <w:rPr>
                      <w:rFonts w:ascii="Times New Roman" w:eastAsia="Times New Roman" w:hAnsi="Times New Roman" w:cs="Times New Roman"/>
                      <w:sz w:val="18"/>
                      <w:szCs w:val="18"/>
                      <w:lang w:eastAsia="tr-TR"/>
                    </w:rPr>
                    <w:t xml:space="preserve"> yayımlanan Yükseköğretim Kurumları Öğrenci Disiplin Yönetmeliği ile öğrencisi olduğu yükseköğretim kurumunun ilgili disiplin mevzuatına ve işletmenin çalışma kurallarına tabidir.</w:t>
                  </w:r>
                </w:p>
                <w:p w:rsidR="00665C91" w:rsidRPr="00665C91" w:rsidRDefault="00665C91" w:rsidP="00665C91">
                  <w:pPr>
                    <w:spacing w:after="0" w:line="240" w:lineRule="atLeast"/>
                    <w:jc w:val="center"/>
                    <w:rPr>
                      <w:rFonts w:ascii="Times New Roman" w:eastAsia="Times New Roman" w:hAnsi="Times New Roman" w:cs="Times New Roman"/>
                      <w:b/>
                      <w:bCs/>
                      <w:sz w:val="19"/>
                      <w:szCs w:val="19"/>
                      <w:lang w:eastAsia="tr-TR"/>
                    </w:rPr>
                  </w:pPr>
                  <w:r w:rsidRPr="00665C91">
                    <w:rPr>
                      <w:rFonts w:ascii="Times New Roman" w:eastAsia="Times New Roman" w:hAnsi="Times New Roman" w:cs="Times New Roman"/>
                      <w:b/>
                      <w:bCs/>
                      <w:sz w:val="18"/>
                      <w:szCs w:val="18"/>
                      <w:lang w:eastAsia="tr-TR"/>
                    </w:rPr>
                    <w:t>ÜÇÜNCÜ BÖLÜM</w:t>
                  </w:r>
                </w:p>
                <w:p w:rsidR="00665C91" w:rsidRPr="00665C91" w:rsidRDefault="00665C91" w:rsidP="00665C91">
                  <w:pPr>
                    <w:spacing w:after="0" w:line="240" w:lineRule="atLeast"/>
                    <w:jc w:val="center"/>
                    <w:rPr>
                      <w:rFonts w:ascii="Times New Roman" w:eastAsia="Times New Roman" w:hAnsi="Times New Roman" w:cs="Times New Roman"/>
                      <w:b/>
                      <w:bCs/>
                      <w:sz w:val="19"/>
                      <w:szCs w:val="19"/>
                      <w:lang w:eastAsia="tr-TR"/>
                    </w:rPr>
                  </w:pPr>
                  <w:r w:rsidRPr="00665C91">
                    <w:rPr>
                      <w:rFonts w:ascii="Times New Roman" w:eastAsia="Times New Roman" w:hAnsi="Times New Roman" w:cs="Times New Roman"/>
                      <w:b/>
                      <w:bCs/>
                      <w:sz w:val="18"/>
                      <w:szCs w:val="18"/>
                      <w:lang w:eastAsia="tr-TR"/>
                    </w:rPr>
                    <w:t>İşletmede Mesleki Eğitim, Staj ve Uygulamalı Ders</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İşletmede mesleki eğitim</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12 –</w:t>
                  </w:r>
                  <w:r w:rsidRPr="00665C91">
                    <w:rPr>
                      <w:rFonts w:ascii="Times New Roman" w:eastAsia="Times New Roman" w:hAnsi="Times New Roman" w:cs="Times New Roman"/>
                      <w:sz w:val="18"/>
                      <w:szCs w:val="18"/>
                      <w:lang w:eastAsia="tr-TR"/>
                    </w:rPr>
                    <w:t> (1) İşletmede mesleki eğitimin eğitim ve öğretim dönemlerinde yapılması esastır. İşletmede mesleki eğitim yükseköğretim kurumunun akademik takviminde belirlenen eğitim ve öğretim dönemlerinde başlar ve bu sürenin sonunda biter. Ancak programın özelliğine ve işletme koşullarının uygunluğuna göre yaz döneminde de işletmede mesleki eğitim yaptırılabilir.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(2) İşletmede mesleki eğitim için AKTS kredisi belirlemek zorunludur. AKTS kredileri program veya bölümün ders çizelgelerine eklenir ve öğrencilerin mezuniyet kredisi hesabına dâhil edilir.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(3) İşletmede mesleki eğitim kapsamında hesaplanan derslerin toplam kredisi 15 AKTS kredisinden az, 30 AKTS kredisinden fazla olamaz. Tıp programlarındaki </w:t>
                  </w:r>
                  <w:proofErr w:type="spellStart"/>
                  <w:r w:rsidRPr="00665C91">
                    <w:rPr>
                      <w:rFonts w:ascii="Times New Roman" w:eastAsia="Times New Roman" w:hAnsi="Times New Roman" w:cs="Times New Roman"/>
                      <w:sz w:val="18"/>
                      <w:szCs w:val="18"/>
                      <w:lang w:eastAsia="tr-TR"/>
                    </w:rPr>
                    <w:t>intörnlük</w:t>
                  </w:r>
                  <w:proofErr w:type="spellEnd"/>
                  <w:r w:rsidRPr="00665C91">
                    <w:rPr>
                      <w:rFonts w:ascii="Times New Roman" w:eastAsia="Times New Roman" w:hAnsi="Times New Roman" w:cs="Times New Roman"/>
                      <w:sz w:val="18"/>
                      <w:szCs w:val="18"/>
                      <w:lang w:eastAsia="tr-TR"/>
                    </w:rPr>
                    <w:t> uygulaması 60 AKTS kredisi olarak değerlendirilir.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(4) Komisyon veya alt komisyonlar, işletmede mesleki eğitim yapan öğrencileri işletme değerlendirme formu, uygulamalı eğitim dosyası ve önceden belirlenen kazanımlar doğrultusunda değerlendirir.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(5) Öğrencinin işletmede mesleki eğitim kapsamındaki değerlendirme notu sisteme ders notu olarak işlenir. Aynı zamanda bu değerlendirme notu, akademik başarı notu değerlendirmelerine dâhil edilir.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(6) Değerlendirme sonucu başarısız olan öğrenciler işletmede mesleki eğitimlerini aynı veya farklı işletmelerde yeniden yapabilir.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(7) İşletmede mesleki eğitim gören öğrencilere 3308 sayılı Kanunun 25 inci maddesi uyarınca ücret ödenir.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(8) </w:t>
                  </w:r>
                  <w:proofErr w:type="spellStart"/>
                  <w:r w:rsidRPr="00665C91">
                    <w:rPr>
                      <w:rFonts w:ascii="Times New Roman" w:eastAsia="Times New Roman" w:hAnsi="Times New Roman" w:cs="Times New Roman"/>
                      <w:sz w:val="18"/>
                      <w:szCs w:val="18"/>
                      <w:lang w:eastAsia="tr-TR"/>
                    </w:rPr>
                    <w:t>İntörnlük</w:t>
                  </w:r>
                  <w:proofErr w:type="spellEnd"/>
                  <w:r w:rsidRPr="00665C91">
                    <w:rPr>
                      <w:rFonts w:ascii="Times New Roman" w:eastAsia="Times New Roman" w:hAnsi="Times New Roman" w:cs="Times New Roman"/>
                      <w:sz w:val="18"/>
                      <w:szCs w:val="18"/>
                      <w:lang w:eastAsia="tr-TR"/>
                    </w:rPr>
                    <w:t> uygulaması kapsamında işletmede mesleki eğitim yapan tıp fakültesi öğrencilerine 4/11/1981 tarihli ve 2547 sayılı Yükseköğretim Kanununun ek 29 uncu maddesi uyarınca ücret ödenir.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(9) 3308 sayılı Kanunun 25 inci maddesi ile 5510 sayılı Kanunun 5 inci maddesinin birinci fıkrasının (b)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 Bu fıkra kapsamında ödenecek primler 5510 sayılı Kanunun 87 </w:t>
                  </w:r>
                  <w:proofErr w:type="spellStart"/>
                  <w:r w:rsidRPr="00665C91">
                    <w:rPr>
                      <w:rFonts w:ascii="Times New Roman" w:eastAsia="Times New Roman" w:hAnsi="Times New Roman" w:cs="Times New Roman"/>
                      <w:sz w:val="18"/>
                      <w:szCs w:val="18"/>
                      <w:lang w:eastAsia="tr-TR"/>
                    </w:rPr>
                    <w:t>nci</w:t>
                  </w:r>
                  <w:proofErr w:type="spellEnd"/>
                  <w:r w:rsidRPr="00665C91">
                    <w:rPr>
                      <w:rFonts w:ascii="Times New Roman" w:eastAsia="Times New Roman" w:hAnsi="Times New Roman" w:cs="Times New Roman"/>
                      <w:sz w:val="18"/>
                      <w:szCs w:val="18"/>
                      <w:lang w:eastAsia="tr-TR"/>
                    </w:rPr>
                    <w:t> maddesinin birinci fıkrasının (e) bendi uyarınca yükseköğretim kurumları tarafından karşılanır.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(10) Tıp programlarındaki </w:t>
                  </w:r>
                  <w:proofErr w:type="spellStart"/>
                  <w:r w:rsidRPr="00665C91">
                    <w:rPr>
                      <w:rFonts w:ascii="Times New Roman" w:eastAsia="Times New Roman" w:hAnsi="Times New Roman" w:cs="Times New Roman"/>
                      <w:sz w:val="18"/>
                      <w:szCs w:val="18"/>
                      <w:lang w:eastAsia="tr-TR"/>
                    </w:rPr>
                    <w:t>intörnlük</w:t>
                  </w:r>
                  <w:proofErr w:type="spellEnd"/>
                  <w:r w:rsidRPr="00665C91">
                    <w:rPr>
                      <w:rFonts w:ascii="Times New Roman" w:eastAsia="Times New Roman" w:hAnsi="Times New Roman" w:cs="Times New Roman"/>
                      <w:sz w:val="18"/>
                      <w:szCs w:val="18"/>
                      <w:lang w:eastAsia="tr-TR"/>
                    </w:rPr>
                    <w:t> uygulaması işletmede mesleki eğitim kapsamında değerlendirilir.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(11) </w:t>
                  </w:r>
                  <w:proofErr w:type="spellStart"/>
                  <w:r w:rsidRPr="00665C91">
                    <w:rPr>
                      <w:rFonts w:ascii="Times New Roman" w:eastAsia="Times New Roman" w:hAnsi="Times New Roman" w:cs="Times New Roman"/>
                      <w:sz w:val="18"/>
                      <w:szCs w:val="18"/>
                      <w:lang w:eastAsia="tr-TR"/>
                    </w:rPr>
                    <w:t>İntörnlük</w:t>
                  </w:r>
                  <w:proofErr w:type="spellEnd"/>
                  <w:r w:rsidRPr="00665C91">
                    <w:rPr>
                      <w:rFonts w:ascii="Times New Roman" w:eastAsia="Times New Roman" w:hAnsi="Times New Roman" w:cs="Times New Roman"/>
                      <w:sz w:val="18"/>
                      <w:szCs w:val="18"/>
                      <w:lang w:eastAsia="tr-TR"/>
                    </w:rPr>
                    <w:t> uygulaması dışında özel niteliği haiz uygulamalı eğitimlerden hangilerinin işletmede mesleki eğitim sayılacağına ve bunların AKTS kredilerinin sınırlarına Yükseköğretim Kurulu karar verir.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Staj</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13 –</w:t>
                  </w:r>
                  <w:r w:rsidRPr="00665C91">
                    <w:rPr>
                      <w:rFonts w:ascii="Times New Roman" w:eastAsia="Times New Roman" w:hAnsi="Times New Roman" w:cs="Times New Roman"/>
                      <w:sz w:val="18"/>
                      <w:szCs w:val="18"/>
                      <w:lang w:eastAsia="tr-TR"/>
                    </w:rPr>
                    <w:t> (1) Stajların yarıyıl veya yaz tatiline rastlayan aylarda yapılması esastır. Ancak aşağıda belirtilen stajların yarıyıl veya yaz tatiline rastlayan aylarda yapılmadığı durumlarda staj ile birlikte eğitim ve öğretim faaliyetleri devam eder, öğrencinin dersinin veya sınavının olduğu günlerde staj yaptırılamaz:</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a) İlgili programın veya işletme koşullarının uygun olmaması durumunda bu süreler dışında ve eğitim ve öğretimi aksatmamak şartıyla staj yaptırılabilir.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b) Öğrenci bütün derslerini tamamlamış ancak stajını henüz tamamlayamamış ise stajını herhangi bir ayda yapabilir.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c) Staj, aynı süreli ve haftalık üç günden az olmamak şartıyla eğitim ve öğretim dönemi, yaz okulu ve genel sınav dönemlerinde de yaptırılabilir.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(2) Staj süresi yükseköğretim kurumları tarafından 20 iş gününden az olmamak üzere ilgili programın niteliğine göre belirlenir.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(3) Staj için AKTS kredisi belirlemek zorunludur. AKTS kredileri program veya bölümün ders çizelgelerine eklenir ve öğrencilerin mezuniyet kredisi hesabına dâhil edilir.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lastRenderedPageBreak/>
                    <w:t>(4) Stajlar kapsamında hesaplanan kredi toplamda 5 AKTS kredisinden az 10 AKTS kredisinden fazla olamaz.</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(5) Komisyonun uygun görüşü ve bu Yönetmelikteki usul ve esaslara uygun olmak kaydıyla öğrenci isteğe bağlı olarak veya öğrenim gördüğü program kapsamında belirlenen staj süresinden daha uzun süreli staj yapabilir. Bu fıkra kapsamındaki staj süreleri kredilendirilebilir ancak mezuniyet kredisi hesabına dâhil edilmez.</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(6) Komisyon veya alt komisyonlar, staj yapan öğrencileri işletme değerlendirme formu, uygulamalı eğitim dosyası ve önceden belirlenen kazanımlar doğrultusunda başarılı veya başarısız olarak değerlendirir. Stajları başarısız olarak değerlendirilen öğrenciler, yeniden staj yapmak zorundadır.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(7) Staj yapan öğrencilere ödenecek ücretler hakkında 3308 sayılı Kanununun 25 inci maddesi uygulanır.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(8) Staj yapan öğrenciler hakkında 5510 sayılı Kanunun 5 inci maddesinin birinci fıkrasının (b) bendi uyarınca iş kazası ve meslek hastalığı sigortası uygulanır. Bu öğrencilerden bakmakla yükümlü olunan kişi durumunda olmayanlar hakkında ayrıca genel sağlık sigortası hükümleri uygulanır. Bu fıkra kapsamında ödenecek primler 5510 sayılı Kanunun 87 </w:t>
                  </w:r>
                  <w:proofErr w:type="spellStart"/>
                  <w:r w:rsidRPr="00665C91">
                    <w:rPr>
                      <w:rFonts w:ascii="Times New Roman" w:eastAsia="Times New Roman" w:hAnsi="Times New Roman" w:cs="Times New Roman"/>
                      <w:sz w:val="18"/>
                      <w:szCs w:val="18"/>
                      <w:lang w:eastAsia="tr-TR"/>
                    </w:rPr>
                    <w:t>nci</w:t>
                  </w:r>
                  <w:proofErr w:type="spellEnd"/>
                  <w:r w:rsidRPr="00665C91">
                    <w:rPr>
                      <w:rFonts w:ascii="Times New Roman" w:eastAsia="Times New Roman" w:hAnsi="Times New Roman" w:cs="Times New Roman"/>
                      <w:sz w:val="18"/>
                      <w:szCs w:val="18"/>
                      <w:lang w:eastAsia="tr-TR"/>
                    </w:rPr>
                    <w:t> maddesinin birinci fıkrasının (e) bendi uyarınca yükseköğretim kurumları tarafından karşılanır.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Uygulamalı ders</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14 –</w:t>
                  </w:r>
                  <w:r w:rsidRPr="00665C91">
                    <w:rPr>
                      <w:rFonts w:ascii="Times New Roman" w:eastAsia="Times New Roman" w:hAnsi="Times New Roman" w:cs="Times New Roman"/>
                      <w:sz w:val="18"/>
                      <w:szCs w:val="18"/>
                      <w:lang w:eastAsia="tr-TR"/>
                    </w:rPr>
                    <w:t> (1) Uygulamalı dersin, ilgili olduğu dersin kapsamında ders programında belirlenen gün ve saatlerde yaptırılması esastır. Ancak gerekli görülmesi halinde ders programında belirtilen gün ve saatlerden farklı zamanlarda da uygulamalı ders yapılabilir.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(2) Uygulamalı ders için AKTS kredisi hesabı, ilişkili olduğu dersin AKTS kredisinin hesaplanması kapsamında yapılır, ayrıca AKTS kredisi hesaplanmaz.</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(3) Uygulamalı derse ait değerlendirmeler ilişkili olduğu ders kapsamında ilgili dersi veren öğretim elemanı veya elamanları tarafından yapılır.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(4) Uygulamalı ders kapsamında uygulamalı eğitim yapan öğrencilere ücret ödenmez.</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(5) Uygulamalı ders yapan öğrenciler 5510 sayılı Kanunun 6 </w:t>
                  </w:r>
                  <w:proofErr w:type="spellStart"/>
                  <w:r w:rsidRPr="00665C91">
                    <w:rPr>
                      <w:rFonts w:ascii="Times New Roman" w:eastAsia="Times New Roman" w:hAnsi="Times New Roman" w:cs="Times New Roman"/>
                      <w:sz w:val="18"/>
                      <w:szCs w:val="18"/>
                      <w:lang w:eastAsia="tr-TR"/>
                    </w:rPr>
                    <w:t>ncı</w:t>
                  </w:r>
                  <w:proofErr w:type="spellEnd"/>
                  <w:r w:rsidRPr="00665C91">
                    <w:rPr>
                      <w:rFonts w:ascii="Times New Roman" w:eastAsia="Times New Roman" w:hAnsi="Times New Roman" w:cs="Times New Roman"/>
                      <w:sz w:val="18"/>
                      <w:szCs w:val="18"/>
                      <w:lang w:eastAsia="tr-TR"/>
                    </w:rPr>
                    <w:t> maddesinin birinci fıkrasının (f) bendi kapsamında sigortalı sayılmazlar.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(6) Tıp programı öğrencilerinin staj adı altında dördüncü ve beşinci sınıflarda yaptıkları uygulamalı eğitimler ile diş hekimliği programı öğrencilerinin uygulamalı eğitimleri, uygulamalı ders kapsamında değerlendirilir.</w:t>
                  </w:r>
                </w:p>
                <w:p w:rsidR="00665C91" w:rsidRPr="00665C91" w:rsidRDefault="00665C91" w:rsidP="00665C91">
                  <w:pPr>
                    <w:spacing w:after="0" w:line="240" w:lineRule="atLeast"/>
                    <w:jc w:val="center"/>
                    <w:rPr>
                      <w:rFonts w:ascii="Times New Roman" w:eastAsia="Times New Roman" w:hAnsi="Times New Roman" w:cs="Times New Roman"/>
                      <w:b/>
                      <w:bCs/>
                      <w:sz w:val="19"/>
                      <w:szCs w:val="19"/>
                      <w:lang w:eastAsia="tr-TR"/>
                    </w:rPr>
                  </w:pPr>
                  <w:r w:rsidRPr="00665C91">
                    <w:rPr>
                      <w:rFonts w:ascii="Times New Roman" w:eastAsia="Times New Roman" w:hAnsi="Times New Roman" w:cs="Times New Roman"/>
                      <w:b/>
                      <w:bCs/>
                      <w:sz w:val="18"/>
                      <w:szCs w:val="18"/>
                      <w:lang w:eastAsia="tr-TR"/>
                    </w:rPr>
                    <w:t>DÖRDÜNCÜ BÖLÜM</w:t>
                  </w:r>
                </w:p>
                <w:p w:rsidR="00665C91" w:rsidRPr="00665C91" w:rsidRDefault="00665C91" w:rsidP="00665C91">
                  <w:pPr>
                    <w:spacing w:after="0" w:line="240" w:lineRule="atLeast"/>
                    <w:jc w:val="center"/>
                    <w:rPr>
                      <w:rFonts w:ascii="Times New Roman" w:eastAsia="Times New Roman" w:hAnsi="Times New Roman" w:cs="Times New Roman"/>
                      <w:b/>
                      <w:bCs/>
                      <w:sz w:val="19"/>
                      <w:szCs w:val="19"/>
                      <w:lang w:eastAsia="tr-TR"/>
                    </w:rPr>
                  </w:pPr>
                  <w:r w:rsidRPr="00665C91">
                    <w:rPr>
                      <w:rFonts w:ascii="Times New Roman" w:eastAsia="Times New Roman" w:hAnsi="Times New Roman" w:cs="Times New Roman"/>
                      <w:b/>
                      <w:bCs/>
                      <w:sz w:val="18"/>
                      <w:szCs w:val="18"/>
                      <w:lang w:eastAsia="tr-TR"/>
                    </w:rPr>
                    <w:t>Çeşitli ve Son Hükümler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Uygulamalı eğitim gruplarının belirlenmesi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15 –</w:t>
                  </w:r>
                  <w:r w:rsidRPr="00665C91">
                    <w:rPr>
                      <w:rFonts w:ascii="Times New Roman" w:eastAsia="Times New Roman" w:hAnsi="Times New Roman" w:cs="Times New Roman"/>
                      <w:sz w:val="18"/>
                      <w:szCs w:val="18"/>
                      <w:lang w:eastAsia="tr-TR"/>
                    </w:rPr>
                    <w:t> (1) Program veya bölümlerde işletmede mesleki eğitim veya staj kapsamında oluşturulacak uygulamalı eğitim gruplarındaki öğrenci sayısı beşten az olamaz. Ancak program veya bölümlerde uygulamalı eğitim yaptırılacak toplam öğrenci sayısının beşten az olması durumunda bir uygulamalı eğitim grubu oluşturulabilir.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(2) Aynı uygulamalı eğitim grubundaki öğrenciler farklı işletmelerde, işletmede mesleki eğitim veya staj yapabilir.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Ders yükü</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16 – </w:t>
                  </w:r>
                  <w:r w:rsidRPr="00665C91">
                    <w:rPr>
                      <w:rFonts w:ascii="Times New Roman" w:eastAsia="Times New Roman" w:hAnsi="Times New Roman" w:cs="Times New Roman"/>
                      <w:sz w:val="18"/>
                      <w:szCs w:val="18"/>
                      <w:lang w:eastAsia="tr-TR"/>
                    </w:rPr>
                    <w:t>(1) İşletmede mesleki eğitim kapsamında görevlendirilen sorumlu öğretim elemanına sorumlu olduğu uygulamalı eğitim grubu sayısına bakılmaksızın haftalık azami beş saat teorik ders yükü yüklenir.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(2) Staj kapsamında atanan sorumlu öğretim elemanına sorumlu olduğu uygulamalı eğitim grubu sayısına bakılmaksızın haftalık iki saat uygulamalı ders yükü yüklenir.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İşletmenin değiştirilmesi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17 –</w:t>
                  </w:r>
                  <w:r w:rsidRPr="00665C91">
                    <w:rPr>
                      <w:rFonts w:ascii="Times New Roman" w:eastAsia="Times New Roman" w:hAnsi="Times New Roman" w:cs="Times New Roman"/>
                      <w:sz w:val="18"/>
                      <w:szCs w:val="18"/>
                      <w:lang w:eastAsia="tr-TR"/>
                    </w:rPr>
                    <w:t> (1) Öğrenci, uygulamalı eğitime başladıktan sonra komisyonun uygun görüşüne binaen işletme değişikliği yapabilir.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Yurt dışında uygulamalı eğitim</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18 –</w:t>
                  </w:r>
                  <w:r w:rsidRPr="00665C91">
                    <w:rPr>
                      <w:rFonts w:ascii="Times New Roman" w:eastAsia="Times New Roman" w:hAnsi="Times New Roman" w:cs="Times New Roman"/>
                      <w:sz w:val="18"/>
                      <w:szCs w:val="18"/>
                      <w:lang w:eastAsia="tr-TR"/>
                    </w:rPr>
                    <w:t> (1) Öğrenciler öğretim programlarını aksatmayacak şekilde, ders çizelgelerinde yer alan işletmede mesleki eğitim veya staj uygulamalarını komisyonun uygun görüşüne binaen yurt dışında yapabilirler.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(2) İşletmede mesleki eğitim veya stajını yurt dışında tamamlayan öğrenciler, uygulamalı eğitim çalışmalarına ilişkin belgelerini ve uygulamalı eğitim dosyasını Komisyona teslim eder. Bu kapsamdaki uygulamalı eğitimlere ilişkin ölçme ve değerlendirme işlemleri bu Yönetmeliğin ilgili hükümleri doğrultusunda yürütülür.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(3) Yurt dışında uygulamalı eğitim yapacak öğrencilerin sigortalanması amacıyla sigortacılık alanında faaliyet gösteren yerli veya yabancı kurum ve kuruluşlara ödenecek primler yükseköğretim kurumları tarafından karşılanmaz.</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Önceki uygulamalı eğitimlerin tanınması</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19 –</w:t>
                  </w:r>
                  <w:r w:rsidRPr="00665C91">
                    <w:rPr>
                      <w:rFonts w:ascii="Times New Roman" w:eastAsia="Times New Roman" w:hAnsi="Times New Roman" w:cs="Times New Roman"/>
                      <w:sz w:val="18"/>
                      <w:szCs w:val="18"/>
                      <w:lang w:eastAsia="tr-TR"/>
                    </w:rPr>
                    <w:t> (1) Yatay ve dikey geçiş yoluyla gelen öğrencilerin önceki eğitim kurumlarında yaptıkları işletmede mesleki eğitim ve stajlarının geçerliliği ilgili intibak komisyonu tarafından değerlendirilerek karara bağlanır.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(2) Öğrenim gördüğü program ile ilgili bir işte çalışmış veya çalışmakta olan öğrenciler, çalışma sürelerini ve unvanlarını belgelendirmek koşuluyla işletmede mesleki eğitim veya staj uygulaması kapsamında önceki öğrenmelerin tanınması için başvuruda bulunabilir. İlgili intibak komisyonu söz konusu başvuruları inceleyerek karar verir. İntibak komisyonunun hakkında olumlu karar verdiği öğrenciler için bu Yönetmeliğin ilgili hükümleri doğrultusunda sadece ölçme ve değerlendirme işlemleri yürütülür.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Diğer hükümler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lastRenderedPageBreak/>
                    <w:t>MADDE 20 –</w:t>
                  </w:r>
                  <w:r w:rsidRPr="00665C91">
                    <w:rPr>
                      <w:rFonts w:ascii="Times New Roman" w:eastAsia="Times New Roman" w:hAnsi="Times New Roman" w:cs="Times New Roman"/>
                      <w:sz w:val="18"/>
                      <w:szCs w:val="18"/>
                      <w:lang w:eastAsia="tr-TR"/>
                    </w:rPr>
                    <w:t> (1) Yükseköğretim kurumları, uygulamalı eğitimlere ilişkin hususlar ile bu kapsamda kullanılacak formları bu Yönetmelik esaslarına uygun olarak belirler ve kendi resmî internet sitelerinde yayımlarlar.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(2) Açık öğretim ve uzaktan eğitim yoluyla eğitim ve öğretim yapan programlardaki uygulamalı eğitimler bu Yönetmelik kapsamı dışındadır.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(3) Açık ceza infaz kurumlarında hükümlü olup aynı zamanda bir yükseköğretim kurumunda öğrenci olanların uygulamalı eğitimlerine ilişkin kurallar, hükümlü bulunulan kurumun görüşü de alınarak ilgili yükseköğretim kurumu tarafından belirlenir.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Vakıf meslek yüksekokulu</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21 –</w:t>
                  </w:r>
                  <w:r w:rsidRPr="00665C91">
                    <w:rPr>
                      <w:rFonts w:ascii="Times New Roman" w:eastAsia="Times New Roman" w:hAnsi="Times New Roman" w:cs="Times New Roman"/>
                      <w:sz w:val="18"/>
                      <w:szCs w:val="18"/>
                      <w:lang w:eastAsia="tr-TR"/>
                    </w:rPr>
                    <w:t> (1) Vakıf meslek yüksekokullarında rektörün görevleri yüksekokul müdürü tarafından yürütülür.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Mücbir sebep hali</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22 –</w:t>
                  </w:r>
                  <w:r w:rsidRPr="00665C91">
                    <w:rPr>
                      <w:rFonts w:ascii="Times New Roman" w:eastAsia="Times New Roman" w:hAnsi="Times New Roman" w:cs="Times New Roman"/>
                      <w:sz w:val="18"/>
                      <w:szCs w:val="18"/>
                      <w:lang w:eastAsia="tr-TR"/>
                    </w:rPr>
                    <w:t> (1) Deprem, yangın, su baskını benzeri doğal afetler, kanuni grev, lokavt, genel salgın hastalık, savaş, kısmi veya genel seferberlik ilanı ve benzeri mücbir sebep hallerinde uygulamalı eğitimlere ilişkin usul ve esaslar Yükseköğretim Kurulu tarafından belirlenir.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Hüküm bulunmayan haller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23 –</w:t>
                  </w:r>
                  <w:r w:rsidRPr="00665C91">
                    <w:rPr>
                      <w:rFonts w:ascii="Times New Roman" w:eastAsia="Times New Roman" w:hAnsi="Times New Roman" w:cs="Times New Roman"/>
                      <w:sz w:val="18"/>
                      <w:szCs w:val="18"/>
                      <w:lang w:eastAsia="tr-TR"/>
                    </w:rPr>
                    <w:t> (1) Bu Yönetmelikte hüküm bulunmayan hallerde ilgili mevzuat hükümleri uygulanır.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Öğrencilere ödenen Devlet katkısı</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GEÇİCİ MADDE 1 –</w:t>
                  </w:r>
                  <w:r w:rsidRPr="00665C91">
                    <w:rPr>
                      <w:rFonts w:ascii="Times New Roman" w:eastAsia="Times New Roman" w:hAnsi="Times New Roman" w:cs="Times New Roman"/>
                      <w:sz w:val="18"/>
                      <w:szCs w:val="18"/>
                      <w:lang w:eastAsia="tr-TR"/>
                    </w:rPr>
                    <w:t> (1) 2547 sayılı Kanunun geçici 74 üncü maddesi kapsamındaki işletmede mesleki eğitimler öğrencilerin öğrenim sürelerinin son yılında bir yarıyılı kapsayacak şekilde eğitim ve öğretim dönemlerinde ve tam zamanlı olarak yapılır.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(2) Birinci fıkra kapsamındaki işletmede mesleki eğitimler, Yükseköğretim Kurulu tarafından belirlenmiş yükseköğretim kurumları ve bu kurumların fen ve mühendislik bilimlerinin belirli lisans programlarıyla sınırlıdır.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(3) Bu madde kapsamında özel sektör işletmelerinde, teknoparklarda, araştırma altyapılarında, Ar-Ge merkezlerinde ya da sanayi kuruluşlarında işletmede mesleki eğitim yapan öğrencilere 1/1/2023 tarihine kadar uygulamalı eğitimleri süresince asgari ücretin net tutarının %35’i ücret olarak ödenir.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(4) Üçüncü fıkra kapsamına giren öğrenciler için 1/1/2023 tarihine kadar bu Yönetmeliğin 12 </w:t>
                  </w:r>
                  <w:proofErr w:type="spellStart"/>
                  <w:r w:rsidRPr="00665C91">
                    <w:rPr>
                      <w:rFonts w:ascii="Times New Roman" w:eastAsia="Times New Roman" w:hAnsi="Times New Roman" w:cs="Times New Roman"/>
                      <w:sz w:val="18"/>
                      <w:szCs w:val="18"/>
                      <w:lang w:eastAsia="tr-TR"/>
                    </w:rPr>
                    <w:t>nci</w:t>
                  </w:r>
                  <w:proofErr w:type="spellEnd"/>
                  <w:r w:rsidRPr="00665C91">
                    <w:rPr>
                      <w:rFonts w:ascii="Times New Roman" w:eastAsia="Times New Roman" w:hAnsi="Times New Roman" w:cs="Times New Roman"/>
                      <w:sz w:val="18"/>
                      <w:szCs w:val="18"/>
                      <w:lang w:eastAsia="tr-TR"/>
                    </w:rPr>
                    <w:t> maddesinin yedinci fıkrası uygulanmaz.</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sz w:val="18"/>
                      <w:szCs w:val="18"/>
                      <w:lang w:eastAsia="tr-TR"/>
                    </w:rPr>
                    <w:t>(5) İkinci fıkra kapsamında uygulamalı eğitim kapsamına alınan program veya bölümlerde öğrenim gören öğrencilerden üçüncü fıkra kapsamı dışında kalan işletmelerde, işletmede mesleki eğitim görenler bu Yönetmeliğin 12 </w:t>
                  </w:r>
                  <w:proofErr w:type="spellStart"/>
                  <w:r w:rsidRPr="00665C91">
                    <w:rPr>
                      <w:rFonts w:ascii="Times New Roman" w:eastAsia="Times New Roman" w:hAnsi="Times New Roman" w:cs="Times New Roman"/>
                      <w:sz w:val="18"/>
                      <w:szCs w:val="18"/>
                      <w:lang w:eastAsia="tr-TR"/>
                    </w:rPr>
                    <w:t>nci</w:t>
                  </w:r>
                  <w:proofErr w:type="spellEnd"/>
                  <w:r w:rsidRPr="00665C91">
                    <w:rPr>
                      <w:rFonts w:ascii="Times New Roman" w:eastAsia="Times New Roman" w:hAnsi="Times New Roman" w:cs="Times New Roman"/>
                      <w:sz w:val="18"/>
                      <w:szCs w:val="18"/>
                      <w:lang w:eastAsia="tr-TR"/>
                    </w:rPr>
                    <w:t> maddesinin yedinci fıkrasına tabidir.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Yürürlük</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24 –</w:t>
                  </w:r>
                  <w:r w:rsidRPr="00665C91">
                    <w:rPr>
                      <w:rFonts w:ascii="Times New Roman" w:eastAsia="Times New Roman" w:hAnsi="Times New Roman" w:cs="Times New Roman"/>
                      <w:sz w:val="18"/>
                      <w:szCs w:val="18"/>
                      <w:lang w:eastAsia="tr-TR"/>
                    </w:rPr>
                    <w:t> (1) Bu Yönetmelik 2021-2022 eğitim ve öğretim yılı güz döneminde yürürlüğe girer.</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Yürütme</w:t>
                  </w:r>
                </w:p>
                <w:p w:rsidR="00665C91" w:rsidRPr="00665C91" w:rsidRDefault="00665C91" w:rsidP="00665C91">
                  <w:pPr>
                    <w:spacing w:after="0" w:line="240" w:lineRule="atLeast"/>
                    <w:ind w:firstLine="566"/>
                    <w:jc w:val="both"/>
                    <w:rPr>
                      <w:rFonts w:ascii="Times New Roman" w:eastAsia="Times New Roman" w:hAnsi="Times New Roman" w:cs="Times New Roman"/>
                      <w:sz w:val="19"/>
                      <w:szCs w:val="19"/>
                      <w:lang w:eastAsia="tr-TR"/>
                    </w:rPr>
                  </w:pPr>
                  <w:r w:rsidRPr="00665C91">
                    <w:rPr>
                      <w:rFonts w:ascii="Times New Roman" w:eastAsia="Times New Roman" w:hAnsi="Times New Roman" w:cs="Times New Roman"/>
                      <w:b/>
                      <w:bCs/>
                      <w:sz w:val="18"/>
                      <w:szCs w:val="18"/>
                      <w:lang w:eastAsia="tr-TR"/>
                    </w:rPr>
                    <w:t>MADDE 25 –</w:t>
                  </w:r>
                  <w:r w:rsidRPr="00665C91">
                    <w:rPr>
                      <w:rFonts w:ascii="Times New Roman" w:eastAsia="Times New Roman" w:hAnsi="Times New Roman" w:cs="Times New Roman"/>
                      <w:sz w:val="18"/>
                      <w:szCs w:val="18"/>
                      <w:lang w:eastAsia="tr-TR"/>
                    </w:rPr>
                    <w:t> (1) Bu Yönetmelik hükümlerini Yükseköğretim Kurulu Başkanı yürütür.</w:t>
                  </w:r>
                </w:p>
                <w:p w:rsidR="00665C91" w:rsidRPr="00665C91" w:rsidRDefault="00665C91" w:rsidP="00665C9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65C91">
                    <w:rPr>
                      <w:rFonts w:ascii="Arial" w:eastAsia="Times New Roman" w:hAnsi="Arial" w:cs="Arial"/>
                      <w:b/>
                      <w:bCs/>
                      <w:color w:val="000080"/>
                      <w:sz w:val="18"/>
                      <w:szCs w:val="18"/>
                      <w:lang w:eastAsia="tr-TR"/>
                    </w:rPr>
                    <w:t> </w:t>
                  </w:r>
                </w:p>
              </w:tc>
            </w:tr>
          </w:tbl>
          <w:p w:rsidR="00665C91" w:rsidRPr="00665C91" w:rsidRDefault="00665C91" w:rsidP="00665C91">
            <w:pPr>
              <w:spacing w:after="0" w:line="240" w:lineRule="auto"/>
              <w:rPr>
                <w:rFonts w:ascii="Times New Roman" w:eastAsia="Times New Roman" w:hAnsi="Times New Roman" w:cs="Times New Roman"/>
                <w:sz w:val="24"/>
                <w:szCs w:val="24"/>
                <w:lang w:eastAsia="tr-TR"/>
              </w:rPr>
            </w:pPr>
          </w:p>
        </w:tc>
      </w:tr>
    </w:tbl>
    <w:p w:rsidR="00665C91" w:rsidRPr="00665C91" w:rsidRDefault="00665C91" w:rsidP="00665C91">
      <w:pPr>
        <w:spacing w:after="0" w:line="240" w:lineRule="auto"/>
        <w:jc w:val="center"/>
        <w:rPr>
          <w:rFonts w:ascii="Times New Roman" w:eastAsia="Times New Roman" w:hAnsi="Times New Roman" w:cs="Times New Roman"/>
          <w:color w:val="000000"/>
          <w:sz w:val="27"/>
          <w:szCs w:val="27"/>
          <w:lang w:eastAsia="tr-TR"/>
        </w:rPr>
      </w:pPr>
      <w:r w:rsidRPr="00665C91">
        <w:rPr>
          <w:rFonts w:ascii="Times New Roman" w:eastAsia="Times New Roman" w:hAnsi="Times New Roman" w:cs="Times New Roman"/>
          <w:color w:val="000000"/>
          <w:sz w:val="27"/>
          <w:szCs w:val="27"/>
          <w:lang w:eastAsia="tr-TR"/>
        </w:rPr>
        <w:lastRenderedPageBreak/>
        <w:t> </w:t>
      </w:r>
    </w:p>
    <w:p w:rsidR="00091B97" w:rsidRDefault="00091B97"/>
    <w:sectPr w:rsidR="00091B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4B"/>
    <w:rsid w:val="00091B97"/>
    <w:rsid w:val="00665C91"/>
    <w:rsid w:val="00854D4B"/>
    <w:rsid w:val="00971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5ABCB-FF1C-4549-BB3F-A6A1FF3A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01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3159</Words>
  <Characters>18011</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 DEGIRMENCI</dc:creator>
  <cp:keywords/>
  <dc:description/>
  <cp:lastModifiedBy>SARE DEGIRMENCI</cp:lastModifiedBy>
  <cp:revision>2</cp:revision>
  <dcterms:created xsi:type="dcterms:W3CDTF">2022-10-27T10:30:00Z</dcterms:created>
  <dcterms:modified xsi:type="dcterms:W3CDTF">2022-10-27T10:30:00Z</dcterms:modified>
</cp:coreProperties>
</file>